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D0C97">
      <w:pPr>
        <w:spacing w:after="240" w:line="360" w:lineRule="auto"/>
        <w:jc w:val="center"/>
        <w:rPr>
          <w:rFonts w:hint="eastAsia" w:ascii="宋体" w:hAnsi="宋体" w:eastAsia="宋体" w:cs="宋体"/>
          <w:b/>
          <w:bCs w:val="0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strike w:val="0"/>
          <w:dstrike w:val="0"/>
          <w:sz w:val="21"/>
          <w:szCs w:val="21"/>
          <w:highlight w:val="none"/>
        </w:rPr>
        <w:t>吞咽神经肌肉电刺激仪</w:t>
      </w:r>
      <w:r>
        <w:rPr>
          <w:rFonts w:hint="eastAsia" w:ascii="宋体" w:hAnsi="宋体" w:cs="宋体"/>
          <w:b/>
          <w:bCs w:val="0"/>
          <w:strike w:val="0"/>
          <w:dstrike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 w:val="0"/>
          <w:strike w:val="0"/>
          <w:dstrike w:val="0"/>
          <w:sz w:val="21"/>
          <w:szCs w:val="21"/>
          <w:highlight w:val="none"/>
          <w:lang w:val="en-US" w:eastAsia="zh-CN"/>
        </w:rPr>
        <w:t>二类）</w:t>
      </w:r>
    </w:p>
    <w:p w14:paraId="7772733B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具备恒流、恒压两种电疗输出模式，恒流输出模式下，</w:t>
      </w:r>
      <w:bookmarkStart w:id="0" w:name="OLE_LINK1"/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用于</w:t>
      </w:r>
      <w:bookmarkEnd w:id="0"/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吞咽部固定式电极片治疗；恒压输出模式下，用于手持活动电极治疗。</w:t>
      </w:r>
    </w:p>
    <w:p w14:paraId="34D23BDE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双通道输出，固定模式及移动电极模式模式可同时独立使用，每通道可独立设置治疗参数，同时治疗两位患者。</w:t>
      </w:r>
    </w:p>
    <w:p w14:paraId="6823DCDE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输出强度：0mA～80mA或0V～80V范围内可调，步长0.5mA或0.5V。</w:t>
      </w:r>
    </w:p>
    <w:p w14:paraId="56CBD973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脉冲频率：20Hz～100Hz可调，步长1Hz。</w:t>
      </w:r>
    </w:p>
    <w:p w14:paraId="5C431A64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脉冲宽度：100μs～400μs可调，步长10μs。</w:t>
      </w:r>
    </w:p>
    <w:p w14:paraId="02732E89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脉冲波形为双向对称波，正负脉冲间隔为100μs。</w:t>
      </w:r>
    </w:p>
    <w:p w14:paraId="123E213D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脉冲的上升时间和下降时间：1s～10s可调，步长1s。</w:t>
      </w:r>
    </w:p>
    <w:p w14:paraId="500B1D00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脉冲的维持时间：1s～55s可调，步长1s。</w:t>
      </w:r>
    </w:p>
    <w:p w14:paraId="15C7CA55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脉冲的断电时间：3s～75s可调，步长1s。</w:t>
      </w:r>
    </w:p>
    <w:p w14:paraId="32BD26DC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治疗时间1～99min可调，步长1min。</w:t>
      </w:r>
    </w:p>
    <w:p w14:paraId="356382AD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具备蝶形固定电极、单球移动电极、双球移动电极、板状移动电极、口腔内棉签电极、口腔内单点球状电极和口腔内两点球状电极共</w:t>
      </w: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多</w:t>
      </w: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种电极治疗方式。</w:t>
      </w:r>
    </w:p>
    <w:p w14:paraId="0B457673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可进行口腔内及口腔外电刺激，通过不同的电极可固定点刺激及不固定式刺激，配备多种刺激电极</w:t>
      </w:r>
    </w:p>
    <w:p w14:paraId="0CD43C79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固定电极具备</w:t>
      </w: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多</w:t>
      </w: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种治疗模式： </w:t>
      </w:r>
    </w:p>
    <w:p w14:paraId="07619F59">
      <w:pPr>
        <w:pStyle w:val="8"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简单操作模式，一键开启治疗，只需调节强度及时间</w:t>
      </w:r>
    </w:p>
    <w:p w14:paraId="1A7F772C">
      <w:pPr>
        <w:pStyle w:val="8"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专家模式更多参数可调（脉宽、频率、上升时间、下降时间、维持时间、断电时间等）</w:t>
      </w:r>
    </w:p>
    <w:p w14:paraId="594DD766">
      <w:pPr>
        <w:pStyle w:val="8"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功能性训练模式，配合手控器及显示动图，通过视觉反馈配合电刺激的方法进行摄食训练，可促进患者吞咽功能恢复。</w:t>
      </w:r>
    </w:p>
    <w:p w14:paraId="4495082C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内置电极放置图示</w:t>
      </w:r>
    </w:p>
    <w:p w14:paraId="6802C2D1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pacing w:val="-6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r>
        <w:rPr>
          <w:rFonts w:hint="eastAsia" w:ascii="宋体" w:hAnsi="宋体" w:eastAsia="宋体" w:cs="宋体"/>
          <w:strike w:val="0"/>
          <w:dstrike w:val="0"/>
          <w:color w:val="000000" w:themeColor="text1"/>
          <w:spacing w:val="-6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电刺激手柄供治疗师操作，可按治疗需求控制电流输出的持续时间，通过手柄上的按键掌控刺激时间。</w:t>
      </w:r>
    </w:p>
    <w:p w14:paraId="44B863FF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开路报警提示，过电保护确保治疗安全。</w:t>
      </w:r>
    </w:p>
    <w:p w14:paraId="34EF61E0">
      <w:pPr>
        <w:spacing w:line="360" w:lineRule="auto"/>
        <w:ind w:left="425"/>
        <w:jc w:val="left"/>
        <w:rPr>
          <w:rFonts w:hint="eastAsia" w:ascii="宋体" w:hAnsi="宋体" w:eastAsia="宋体" w:cs="宋体"/>
          <w:b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964" w:right="794" w:bottom="851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3ED3A">
    <w:pPr>
      <w:pStyle w:val="4"/>
      <w:pBdr>
        <w:bottom w:val="none" w:color="auto" w:sz="0" w:space="1"/>
      </w:pBdr>
      <w:ind w:firstLine="3149" w:firstLineChars="1049"/>
      <w:jc w:val="right"/>
      <w:rPr>
        <w:rFonts w:ascii="微软雅黑" w:hAnsi="微软雅黑" w:eastAsia="微软雅黑"/>
        <w:b/>
        <w:bCs/>
        <w:sz w:val="30"/>
      </w:rPr>
    </w:pPr>
  </w:p>
  <w:p w14:paraId="61FAB860">
    <w:pPr>
      <w:pStyle w:val="4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20342F"/>
    <w:multiLevelType w:val="singleLevel"/>
    <w:tmpl w:val="4020342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422FC5C2"/>
    <w:multiLevelType w:val="singleLevel"/>
    <w:tmpl w:val="422FC5C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5MGJkZTZiMmU5ZjRlMGY2YzNiMWViNDg5ODNjNmUifQ=="/>
  </w:docVars>
  <w:rsids>
    <w:rsidRoot w:val="2BBF5A6A"/>
    <w:rsid w:val="00102443"/>
    <w:rsid w:val="003155B8"/>
    <w:rsid w:val="004239A7"/>
    <w:rsid w:val="057E1EB8"/>
    <w:rsid w:val="06286C94"/>
    <w:rsid w:val="0AB71868"/>
    <w:rsid w:val="1449350C"/>
    <w:rsid w:val="1A5229D3"/>
    <w:rsid w:val="29B840AC"/>
    <w:rsid w:val="2BBF5A6A"/>
    <w:rsid w:val="2CF82BC6"/>
    <w:rsid w:val="2F630941"/>
    <w:rsid w:val="305B01B3"/>
    <w:rsid w:val="337056DD"/>
    <w:rsid w:val="34600993"/>
    <w:rsid w:val="34A1035B"/>
    <w:rsid w:val="40A4725E"/>
    <w:rsid w:val="563F2A23"/>
    <w:rsid w:val="56DF13E0"/>
    <w:rsid w:val="5B3A6720"/>
    <w:rsid w:val="5EA64A15"/>
    <w:rsid w:val="606C5990"/>
    <w:rsid w:val="615342AB"/>
    <w:rsid w:val="632D5BEB"/>
    <w:rsid w:val="6B390327"/>
    <w:rsid w:val="6EA05DAA"/>
    <w:rsid w:val="6FA058A6"/>
    <w:rsid w:val="79690012"/>
    <w:rsid w:val="7B5F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580</Words>
  <Characters>638</Characters>
  <Lines>26</Lines>
  <Paragraphs>7</Paragraphs>
  <TotalTime>14</TotalTime>
  <ScaleCrop>false</ScaleCrop>
  <LinksUpToDate>false</LinksUpToDate>
  <CharactersWithSpaces>639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2021-09-27T02:26:00Z</dcterms:created>
  <dc:creator>西瓜</dc:creator>
  <cp:lastModifiedBy>招标代理</cp:lastModifiedBy>
  <dcterms:modified xsi:type="dcterms:W3CDTF">2025-06-20T07:28:42Z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6C28D1D3412545FB8B20D5F3DA147578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